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color w:val="0C0C0C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C0C0C"/>
          <w:kern w:val="0"/>
          <w:sz w:val="36"/>
          <w:szCs w:val="36"/>
        </w:rPr>
        <w:t>高层次国际化人才培养创新实践项目2024年暑假PBL交叉学科线上课程清单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8"/>
        <w:tblW w:w="15310" w:type="dxa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4679"/>
        <w:gridCol w:w="4533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eastAsia="zh-Hans"/>
              </w:rPr>
              <w:t>课程名称（中文）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eastAsia="zh-Hans"/>
              </w:rPr>
              <w:t>课程名称（英文）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eastAsia="zh-Hans"/>
              </w:rPr>
              <w:t>授课教师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eastAsia="zh-Hans"/>
              </w:rPr>
              <w:t>学科交叉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自然语言处理与网络舆情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Natural Language Processing and Public Opinion Monitoring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俄亥俄州立大学讲师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语言学、计算机科学、数学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人工智能与云计算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Artificial Intelligence and Cloud Computing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麦吉尔大学副教授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计算机科学、人工智能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人工智能时代下的机器人设计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Artificial Intelligence and Robots Design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纽约大学副教授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人工智能、计算机科学、机器人工程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4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人工智能在公共卫生领域的应用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Application of Artificial Intelligence in Public Health</w:t>
            </w:r>
          </w:p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加州大学洛杉矶分校兼职副教授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机器学习、数据科学、公共卫生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5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数据科学与商业分析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Data Science and Business Analytics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弗吉尼亚大学副教授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媒体与营销、商业分析、计算机数据科学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6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数字经济与整合营销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Digital Economy and Integrated Marketing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莱斯大学教授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战略管理、消费者行为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7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数据科学在商业领域的应用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Data Science and its Application in Business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加州大学河滨分校讲师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计算机和信息技术、统计学、金融学、经济学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8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媒体艺术与社会性别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Gender Equality and Digital Arts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加州大学伯克利分校教授、约翰霍普金斯大学副教授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社会学、传媒学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9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人工智能如何赋能教育数字化转型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Artificial Intelligence in Education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加州大学洛杉矶分校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讲师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泛教育学、人工智能、机器学习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10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现代农业与生物质能源研究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Research on Agriculture and Bioenergy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昆士兰大学教授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农业、生物工程、加工工程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11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音乐治疗在不同年龄段的影响与应用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The Influence and Application of Music Therapy in Different Age Groups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墨尔本大学教授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音乐心理学、音乐治疗、创意艺术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12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数字经济与智能金融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Digital Economy and Intellectual Finance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莱斯大学教授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数学、计算机科学、经济学、管理学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大数据时代下大众传播策略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Information Flow in the Digital Age: A Data Based Media System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维克森林大学教授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计算机科学、传播学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体育经济与市场营销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Sports Economics and Marketing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巴黎萨克雷大学教授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市场营销、管理学、经济学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15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创新实践与领导力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Innovation Practice and Entrepreneurship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香港中文大学教授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管理学、经济学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16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能源经济管理与可持续发展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Management of Energy Systems for  Sustainable Development</w:t>
            </w:r>
          </w:p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爱丁堡大学教授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可再生能源、化学工程、环境工程、石油工程、管理学、经济学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17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金融市场与法律监管的机遇与挑战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The Role of International Capital Markets: Opportunities and Challenges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哥伦比亚大学讲师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金融、法律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18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基于社会学习、公平与发展的教育心理学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Educational Psychology Based on Studies, Equality and Development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伦敦大学学院副教授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心理学、教育学、应用教育心理学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19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新信息时代下的人际关系传播的思考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Relationships and Interpersonal Communication in a Global Information Technology Era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维克森林大学教授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传播学、公共关系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20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博弈论分析与实践：以全球环境问题为例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Game Theory and the Environment: Theories and Applications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伦敦大学学院副教授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环境经济学、微观经济学、行为经济学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21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人类发展中的文化记忆与创意设计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Anthropology of Creative Practices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曼彻斯特大学教授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人类学、艺术史、艺术社会学、建筑与设计研究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22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以游戏为例:概率与统计的应用与探索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Exploration and Application: Probability and Statistical Theory in Games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苏黎世联邦理工大学兼职教授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统计学、概率论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23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当代组织中人际行为的基础理论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Foundations of Human Behavior in Contemporary Organizations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加州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心理学、社会学、管理学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24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碳金融：市场机制、政策工具和投资机遇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Carbon Finance: Markets, Mechanisms and Policy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爱丁堡大学教授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经济学、金融学、社会学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25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仿生学和仿生机器人设计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Biomimetics and Bio-inspired Robots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中山大学副教授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生物学、机械工程、控制科学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Align w:val="center"/>
          </w:tcPr>
          <w:p>
            <w:pPr>
              <w:tabs>
                <w:tab w:val="right" w:pos="8305"/>
              </w:tabs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26</w:t>
            </w:r>
          </w:p>
        </w:tc>
        <w:tc>
          <w:tcPr>
            <w:tcW w:w="4679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全球化背景下的国家安全</w:t>
            </w:r>
          </w:p>
        </w:tc>
        <w:tc>
          <w:tcPr>
            <w:tcW w:w="453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National Security in the Context of Globalization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中国人民警察大学教授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right" w:pos="8305"/>
              </w:tabs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Hans"/>
              </w:rPr>
              <w:t>国际关系学、国际政治学、国家安全学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sectPr>
          <w:pgSz w:w="16840" w:h="11905" w:orient="landscape"/>
          <w:pgMar w:top="1800" w:right="1440" w:bottom="1800" w:left="1440" w:header="720" w:footer="720" w:gutter="0"/>
          <w:pgNumType w:fmt="decimal"/>
          <w:cols w:space="720" w:num="1"/>
          <w:docGrid w:linePitch="286" w:charSpace="0"/>
        </w:sectPr>
      </w:pPr>
    </w:p>
    <w:p>
      <w:pPr>
        <w:pStyle w:val="2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spacing w:before="240" w:beforeLines="100" w:after="240" w:afterLines="100"/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0C0C0C"/>
          <w:kern w:val="0"/>
          <w:sz w:val="36"/>
          <w:szCs w:val="36"/>
        </w:rPr>
        <w:t>高层次国际化人才培养创新实践项目2024年暑假PBL交叉学科线上课程结构</w:t>
      </w:r>
    </w:p>
    <w:tbl>
      <w:tblPr>
        <w:tblStyle w:val="8"/>
        <w:tblpPr w:leftFromText="180" w:rightFromText="180" w:vertAnchor="text" w:horzAnchor="margin" w:tblpXSpec="center" w:tblpY="221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6"/>
        <w:gridCol w:w="462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88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课时（45分钟/课时）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模块一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学习指南</w:t>
            </w: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什么是PBL教学方法</w:t>
            </w:r>
          </w:p>
        </w:tc>
        <w:tc>
          <w:tcPr>
            <w:tcW w:w="188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PBL教学的常见形式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模块二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PBL课程</w:t>
            </w: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交叉学科PBL课程设计</w:t>
            </w:r>
          </w:p>
        </w:tc>
        <w:tc>
          <w:tcPr>
            <w:tcW w:w="188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梳理预习材料和知识点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制定小组项目方向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点评小组项目成果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模块三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助教辅导</w:t>
            </w: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对知识点进行查漏补缺</w:t>
            </w:r>
          </w:p>
        </w:tc>
        <w:tc>
          <w:tcPr>
            <w:tcW w:w="188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跟进小组项目调研进度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指导小组展示项目成果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模块四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未来展望</w:t>
            </w: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升学与就业方向展望</w:t>
            </w:r>
          </w:p>
        </w:tc>
        <w:tc>
          <w:tcPr>
            <w:tcW w:w="1886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06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2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个人规划及发展建议</w:t>
            </w:r>
          </w:p>
        </w:tc>
        <w:tc>
          <w:tcPr>
            <w:tcW w:w="1886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693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总课时</w:t>
            </w:r>
          </w:p>
        </w:tc>
        <w:tc>
          <w:tcPr>
            <w:tcW w:w="188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eastAsia="仿宋" w:cs="Times New Roman"/>
          <w:sz w:val="30"/>
          <w:szCs w:val="30"/>
        </w:rPr>
        <w:sectPr>
          <w:pgSz w:w="11905" w:h="16840"/>
          <w:pgMar w:top="1440" w:right="1800" w:bottom="1440" w:left="1800" w:header="720" w:footer="720" w:gutter="0"/>
          <w:pgNumType w:fmt="decimal"/>
          <w:cols w:space="720" w:num="1"/>
          <w:docGrid w:linePitch="286" w:charSpace="0"/>
        </w:sectPr>
      </w:pPr>
    </w:p>
    <w:p>
      <w:pPr>
        <w:pStyle w:val="2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附件3</w:t>
      </w:r>
    </w:p>
    <w:p>
      <w:pPr>
        <w:pStyle w:val="6"/>
        <w:spacing w:before="240" w:beforeLines="100" w:after="240" w:afterLines="10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C0C0C"/>
          <w:kern w:val="0"/>
          <w:sz w:val="36"/>
          <w:szCs w:val="36"/>
        </w:rPr>
        <w:t>高层次国际化人才培养创新实践项目2024年暑假PBL交叉学科线上课程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时间安排</w:t>
      </w:r>
    </w:p>
    <w:tbl>
      <w:tblPr>
        <w:tblStyle w:val="8"/>
        <w:tblW w:w="8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2"/>
        <w:gridCol w:w="1217"/>
        <w:gridCol w:w="4025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atLeast"/>
          <w:jc w:val="center"/>
        </w:trPr>
        <w:tc>
          <w:tcPr>
            <w:tcW w:w="185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周期</w:t>
            </w: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课程内容设置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第一周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学习指南、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PBL课程和助教辅导</w:t>
            </w: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什么是PBL教学方法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PBL教学的常见形式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交叉学科PBL课程设计及知识点学习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知识点查漏补缺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制定小组项目方向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PBL课程和助教辅导</w:t>
            </w: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知识点查漏补缺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交叉学科课程知识学习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知识点查漏补缺&amp;跟进小组项目调研进度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互动与项目设计跟进答疑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跟进小组项目调研进度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restart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第三周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PBL教授及助教辅导和未来展望</w:t>
            </w: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交叉学科课程知识点学习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跟进小组项目调研进度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交叉学科课程知识点学习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助教课-6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知识点查漏补缺&amp;指导小组项目成果展示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教授课-7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教授点评小组项目成果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升学与就业方向展望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852" w:type="dxa"/>
            <w:vMerge w:val="continue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025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个人规划及发展建议</w:t>
            </w: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atLeast"/>
          <w:jc w:val="center"/>
        </w:trPr>
        <w:tc>
          <w:tcPr>
            <w:tcW w:w="185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总课时</w:t>
            </w:r>
          </w:p>
        </w:tc>
        <w:tc>
          <w:tcPr>
            <w:tcW w:w="5242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  <w:sectPr>
          <w:pgSz w:w="11905" w:h="16840"/>
          <w:pgMar w:top="1440" w:right="1800" w:bottom="1440" w:left="1800" w:header="720" w:footer="720" w:gutter="0"/>
          <w:pgNumType w:fmt="decimal"/>
          <w:cols w:space="720" w:num="1"/>
        </w:sectPr>
      </w:pPr>
      <w:bookmarkStart w:id="0" w:name="_GoBack"/>
      <w:bookmarkEnd w:id="0"/>
    </w:p>
    <w:p/>
    <w:sectPr>
      <w:footerReference r:id="rId3" w:type="default"/>
      <w:pgSz w:w="11905" w:h="16840"/>
      <w:pgMar w:top="1440" w:right="1800" w:bottom="1440" w:left="180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59B2E22-8BD3-4204-9545-68570AB54A7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AB15BF-C3A1-4D96-A02D-4B3E308929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2E5C753-438E-4FCE-A37B-98184A4A8B1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yNTZiOTFiYTg2Mzk0ZGEzMjRjMjA4MjcwYTYzYjYifQ=="/>
    <w:docVar w:name="KSO_WPS_MARK_KEY" w:val="cfcd4303-3238-49a0-891d-02c832b5376a"/>
  </w:docVars>
  <w:rsids>
    <w:rsidRoot w:val="00CB18FB"/>
    <w:rsid w:val="0003619B"/>
    <w:rsid w:val="00087917"/>
    <w:rsid w:val="000A5C41"/>
    <w:rsid w:val="000B31D7"/>
    <w:rsid w:val="000D302D"/>
    <w:rsid w:val="000F06BC"/>
    <w:rsid w:val="00110BF6"/>
    <w:rsid w:val="0014636C"/>
    <w:rsid w:val="001621F9"/>
    <w:rsid w:val="00192E6F"/>
    <w:rsid w:val="001E305B"/>
    <w:rsid w:val="002012FA"/>
    <w:rsid w:val="00224006"/>
    <w:rsid w:val="002B47F1"/>
    <w:rsid w:val="002C3CFE"/>
    <w:rsid w:val="002E0E31"/>
    <w:rsid w:val="002E1805"/>
    <w:rsid w:val="00311774"/>
    <w:rsid w:val="00335CD8"/>
    <w:rsid w:val="0035739D"/>
    <w:rsid w:val="003A4DCD"/>
    <w:rsid w:val="003E3905"/>
    <w:rsid w:val="00443DD9"/>
    <w:rsid w:val="00444A26"/>
    <w:rsid w:val="004B7084"/>
    <w:rsid w:val="004F0B3E"/>
    <w:rsid w:val="004F6A70"/>
    <w:rsid w:val="00506FF3"/>
    <w:rsid w:val="0052597B"/>
    <w:rsid w:val="00556AC9"/>
    <w:rsid w:val="00654D65"/>
    <w:rsid w:val="006A4540"/>
    <w:rsid w:val="006C7553"/>
    <w:rsid w:val="006D736C"/>
    <w:rsid w:val="006E61B5"/>
    <w:rsid w:val="006E7A4C"/>
    <w:rsid w:val="00724613"/>
    <w:rsid w:val="007D5894"/>
    <w:rsid w:val="008218D2"/>
    <w:rsid w:val="00880FCD"/>
    <w:rsid w:val="008B2990"/>
    <w:rsid w:val="008C28D9"/>
    <w:rsid w:val="008C394B"/>
    <w:rsid w:val="008F1783"/>
    <w:rsid w:val="00966D07"/>
    <w:rsid w:val="0099221C"/>
    <w:rsid w:val="009B1506"/>
    <w:rsid w:val="009D262A"/>
    <w:rsid w:val="009E06A2"/>
    <w:rsid w:val="00A118AF"/>
    <w:rsid w:val="00A470C7"/>
    <w:rsid w:val="00A62BEE"/>
    <w:rsid w:val="00AA69CB"/>
    <w:rsid w:val="00AA69E8"/>
    <w:rsid w:val="00AB1EBE"/>
    <w:rsid w:val="00AB6916"/>
    <w:rsid w:val="00AD7CF8"/>
    <w:rsid w:val="00AF07CB"/>
    <w:rsid w:val="00B7371D"/>
    <w:rsid w:val="00BA25F4"/>
    <w:rsid w:val="00C27241"/>
    <w:rsid w:val="00C515BF"/>
    <w:rsid w:val="00C972BC"/>
    <w:rsid w:val="00CB18FB"/>
    <w:rsid w:val="00CC07D4"/>
    <w:rsid w:val="00CE29A9"/>
    <w:rsid w:val="00CE40BE"/>
    <w:rsid w:val="00D07B8D"/>
    <w:rsid w:val="00D178BE"/>
    <w:rsid w:val="00D3750E"/>
    <w:rsid w:val="00DA318D"/>
    <w:rsid w:val="00DA6DEF"/>
    <w:rsid w:val="00DE12A7"/>
    <w:rsid w:val="00DE50FC"/>
    <w:rsid w:val="00E2376C"/>
    <w:rsid w:val="00E455A8"/>
    <w:rsid w:val="00E65731"/>
    <w:rsid w:val="00EB6458"/>
    <w:rsid w:val="00ED062D"/>
    <w:rsid w:val="00F856FC"/>
    <w:rsid w:val="00FC4816"/>
    <w:rsid w:val="02075F85"/>
    <w:rsid w:val="041A1188"/>
    <w:rsid w:val="04952D4C"/>
    <w:rsid w:val="05872C79"/>
    <w:rsid w:val="08C35C69"/>
    <w:rsid w:val="0DD76C54"/>
    <w:rsid w:val="0E3C678D"/>
    <w:rsid w:val="0EC75958"/>
    <w:rsid w:val="0F061AE2"/>
    <w:rsid w:val="11432242"/>
    <w:rsid w:val="135C7778"/>
    <w:rsid w:val="157A6A19"/>
    <w:rsid w:val="178E20A6"/>
    <w:rsid w:val="17942F17"/>
    <w:rsid w:val="1B0B2D4E"/>
    <w:rsid w:val="1C8C136C"/>
    <w:rsid w:val="1D2D443D"/>
    <w:rsid w:val="1D583B0F"/>
    <w:rsid w:val="1E483E30"/>
    <w:rsid w:val="2348043F"/>
    <w:rsid w:val="25B80640"/>
    <w:rsid w:val="26120603"/>
    <w:rsid w:val="297B7724"/>
    <w:rsid w:val="2F9E20EA"/>
    <w:rsid w:val="32EE5B5B"/>
    <w:rsid w:val="33482177"/>
    <w:rsid w:val="387F6474"/>
    <w:rsid w:val="38B8734F"/>
    <w:rsid w:val="39E74354"/>
    <w:rsid w:val="40C46C93"/>
    <w:rsid w:val="43A37C05"/>
    <w:rsid w:val="44223A2B"/>
    <w:rsid w:val="46503FBA"/>
    <w:rsid w:val="47DFD834"/>
    <w:rsid w:val="48D01B17"/>
    <w:rsid w:val="4C0D5C12"/>
    <w:rsid w:val="4D6324B6"/>
    <w:rsid w:val="51702DDD"/>
    <w:rsid w:val="540B4380"/>
    <w:rsid w:val="5562811F"/>
    <w:rsid w:val="559E63C4"/>
    <w:rsid w:val="596949D4"/>
    <w:rsid w:val="59B74DD7"/>
    <w:rsid w:val="59D6612D"/>
    <w:rsid w:val="5A02398E"/>
    <w:rsid w:val="5CAC395C"/>
    <w:rsid w:val="5D091C79"/>
    <w:rsid w:val="5FEE2EC4"/>
    <w:rsid w:val="6118685B"/>
    <w:rsid w:val="62C91163"/>
    <w:rsid w:val="63AC4E05"/>
    <w:rsid w:val="67D11B3A"/>
    <w:rsid w:val="68264776"/>
    <w:rsid w:val="684E2373"/>
    <w:rsid w:val="6C9B61BB"/>
    <w:rsid w:val="6DB673C3"/>
    <w:rsid w:val="6E2C16AC"/>
    <w:rsid w:val="6F6F39D2"/>
    <w:rsid w:val="70C50F0F"/>
    <w:rsid w:val="75DF309C"/>
    <w:rsid w:val="76CC738C"/>
    <w:rsid w:val="79E71D25"/>
    <w:rsid w:val="7B2D4687"/>
    <w:rsid w:val="7BC51344"/>
    <w:rsid w:val="7BFF433A"/>
    <w:rsid w:val="7D655547"/>
    <w:rsid w:val="7E0F13A4"/>
    <w:rsid w:val="95D1B65D"/>
    <w:rsid w:val="DFFDA865"/>
    <w:rsid w:val="EF9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autoRedefine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paragraph" w:styleId="7">
    <w:name w:val="Normal (Web)"/>
    <w:basedOn w:val="1"/>
    <w:autoRedefine/>
    <w:semiHidden/>
    <w:unhideWhenUsed/>
    <w:qFormat/>
    <w:uiPriority w:val="99"/>
    <w:rPr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3">
    <w:name w:val="p1"/>
    <w:basedOn w:val="1"/>
    <w:autoRedefine/>
    <w:qFormat/>
    <w:uiPriority w:val="0"/>
    <w:pPr>
      <w:jc w:val="left"/>
    </w:pPr>
    <w:rPr>
      <w:rFonts w:ascii="PingFang SC" w:hAnsi="PingFang SC" w:eastAsia="PingFang SC" w:cs="Times New Roman"/>
      <w:kern w:val="0"/>
      <w:sz w:val="26"/>
      <w:szCs w:val="26"/>
    </w:rPr>
  </w:style>
  <w:style w:type="paragraph" w:customStyle="1" w:styleId="1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修订3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036C-62D0-47C9-834B-0131C043D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1397</Words>
  <Characters>2420</Characters>
  <Lines>74</Lines>
  <Paragraphs>20</Paragraphs>
  <TotalTime>3</TotalTime>
  <ScaleCrop>false</ScaleCrop>
  <LinksUpToDate>false</LinksUpToDate>
  <CharactersWithSpaces>2564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2024-04-16T08:28:00Z</dcterms:created>
  <dc:creator>Apache POI</dc:creator>
  <cp:lastModifiedBy>大益</cp:lastModifiedBy>
  <cp:lastPrinted>2024-04-18T09:25:00Z</cp:lastPrinted>
  <dcterms:modified xsi:type="dcterms:W3CDTF">2024-07-05T03:21:44Z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905AD9807FA54D80AE0FDD8C24671EBD_13</vt:lpwstr>
  </property>
</Properties>
</file>